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6"/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7"/>
      </w:tblGrid>
      <w:tr w:rsidR="00783714" w:rsidRPr="0066512B" w:rsidTr="00A56421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714" w:rsidRPr="0066512B" w:rsidRDefault="00783714" w:rsidP="00A56421">
            <w:pPr>
              <w:widowControl w:val="0"/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51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51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ОДО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 Наурского муниципального района»</w:t>
            </w:r>
          </w:p>
          <w:p w:rsidR="00783714" w:rsidRPr="0066512B" w:rsidRDefault="00783714" w:rsidP="00A5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651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</w:pPr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 xml:space="preserve"> «ДЕТСКИЙ САД №4 «СКАЗКА»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>С.АЛПАТОВО</w:t>
            </w:r>
            <w:proofErr w:type="spellEnd"/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</w:pPr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>НАУРСКОГО  МУНИЦИПАЛЬНОГО РАЙОНА»</w:t>
            </w:r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</w:pPr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>МБДОУ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 xml:space="preserve"> № 4 «Сказка» с.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>Алпатово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4"/>
                <w:lang w:eastAsia="ru-RU"/>
              </w:rPr>
              <w:t xml:space="preserve"> Наурского муниципального района)</w:t>
            </w:r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proofErr w:type="spellStart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МУ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Невран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муниципальни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 к1оштан </w:t>
            </w:r>
            <w:proofErr w:type="spellStart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шдо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»</w:t>
            </w:r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</w:pP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>Муниципальни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>бюджетни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>школазхойн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>дешаран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>учреждени</w:t>
            </w:r>
            <w:proofErr w:type="spellEnd"/>
          </w:p>
          <w:p w:rsidR="00783714" w:rsidRPr="0066512B" w:rsidRDefault="00783714" w:rsidP="0078371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</w:pPr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«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НЕВРАН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МУНИЦИПАЛЬНИ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К</w:t>
            </w:r>
            <w:proofErr w:type="gram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ОШТАН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6"/>
                <w:szCs w:val="26"/>
                <w:lang w:eastAsia="ru-RU"/>
              </w:rPr>
              <w:t>А</w:t>
            </w:r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ЛПАТОВОН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ЮЬРТАН</w:t>
            </w:r>
            <w:proofErr w:type="spellEnd"/>
            <w:r w:rsidRPr="0066512B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№ 4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ЙОЛУ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БЕРИЙН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>БЕШ</w:t>
            </w:r>
            <w:proofErr w:type="spellEnd"/>
            <w:r w:rsidRPr="0066512B">
              <w:rPr>
                <w:rFonts w:ascii="Times New Roman" w:eastAsiaTheme="minorEastAsia" w:hAnsi="Times New Roman" w:cs="Arial"/>
                <w:b/>
                <w:sz w:val="24"/>
                <w:szCs w:val="26"/>
                <w:lang w:eastAsia="ru-RU"/>
              </w:rPr>
              <w:t xml:space="preserve"> «СКАЗКА»</w:t>
            </w:r>
          </w:p>
          <w:p w:rsidR="00783714" w:rsidRPr="0066512B" w:rsidRDefault="00783714" w:rsidP="00A564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right"/>
              <w:tblInd w:w="182" w:type="dxa"/>
              <w:tblLayout w:type="fixed"/>
              <w:tblLook w:val="04A0"/>
            </w:tblPr>
            <w:tblGrid>
              <w:gridCol w:w="4694"/>
            </w:tblGrid>
            <w:tr w:rsidR="00783714" w:rsidRPr="0066512B" w:rsidTr="00A56421">
              <w:trPr>
                <w:jc w:val="right"/>
              </w:trPr>
              <w:tc>
                <w:tcPr>
                  <w:tcW w:w="4694" w:type="dxa"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</w:t>
                  </w:r>
                  <w:proofErr w:type="gramEnd"/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приказом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МБДОУ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№4 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«Сказка» с.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Алпатово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Наурского  муниципального района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7175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 w:rsidR="007175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</w:t>
                  </w:r>
                  <w:r w:rsidR="007175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7175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-од</w:t>
                  </w:r>
                </w:p>
              </w:tc>
            </w:tr>
            <w:tr w:rsidR="00783714" w:rsidRPr="0066512B" w:rsidTr="00A56421">
              <w:trPr>
                <w:jc w:val="right"/>
              </w:trPr>
              <w:tc>
                <w:tcPr>
                  <w:tcW w:w="4694" w:type="dxa"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783714" w:rsidRPr="0066512B" w:rsidRDefault="00783714" w:rsidP="00A56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Отчет</w:t>
            </w:r>
          </w:p>
          <w:p w:rsidR="00783714" w:rsidRPr="0066512B" w:rsidRDefault="00783714" w:rsidP="00A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о результатах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самообследования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 </w:t>
            </w:r>
          </w:p>
          <w:p w:rsidR="00783714" w:rsidRPr="0066512B" w:rsidRDefault="00783714" w:rsidP="00A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МБДОУ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 №4 «Сказка» с.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Алпатово</w:t>
            </w:r>
            <w:proofErr w:type="spellEnd"/>
          </w:p>
          <w:p w:rsidR="00783714" w:rsidRPr="0066512B" w:rsidRDefault="00783714" w:rsidP="00A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 за 2020 календарный год</w:t>
            </w:r>
          </w:p>
          <w:p w:rsidR="00783714" w:rsidRPr="0066512B" w:rsidRDefault="00783714" w:rsidP="00A564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Аналитическая часть.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1.2.Общая характеристика образовательного учреждения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1.2.Оценка системы управления организации.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1.3.Оценка образовательной деятельности.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1.4.Оценка содержания и качества подготовки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1.5.Оценка организации учебного процесса.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Оценка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выпускников.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1.7.Оценка качества кадрового обеспечения, учебно-методического обеспечения,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библиотечно-инфомационного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обеспечения.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 Оценка материально-технической базы.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1.9.Оценка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Результаты анализа показателей деятельности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proofErr w:type="spellEnd"/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об образовательной организации</w:t>
            </w:r>
          </w:p>
          <w:tbl>
            <w:tblPr>
              <w:tblStyle w:val="a4"/>
              <w:tblW w:w="8784" w:type="dxa"/>
              <w:tblLayout w:type="fixed"/>
              <w:tblLook w:val="04A0"/>
            </w:tblPr>
            <w:tblGrid>
              <w:gridCol w:w="3795"/>
              <w:gridCol w:w="4989"/>
            </w:tblGrid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</w:t>
                  </w: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образовательной</w:t>
                  </w:r>
                  <w:proofErr w:type="gramEnd"/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Муниципальное бюджетное дошкольное образовательное учреждение «Детский сад №4 «Сказка» с.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Алпатово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Наурского муниципального района»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Мезиева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Зарина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Зиявна</w:t>
                  </w:r>
                  <w:proofErr w:type="spellEnd"/>
                </w:p>
              </w:tc>
            </w:tr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366130, Чеченская Республика, Наурский район, с.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Чернокозово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переулок Первомайский 5 а</w:t>
                  </w:r>
                </w:p>
              </w:tc>
            </w:tr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66512B" w:rsidRDefault="00A244FC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8 963 5940256</w:t>
                  </w:r>
                </w:p>
              </w:tc>
            </w:tr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en-US" w:eastAsia="ru-RU"/>
                    </w:rPr>
                    <w:t>naurmds</w:t>
                  </w:r>
                  <w:proofErr w:type="spellEnd"/>
                  <w:r w:rsidRPr="00B7557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4@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en-US" w:eastAsia="ru-RU"/>
                    </w:rPr>
                    <w:t>mail</w:t>
                  </w:r>
                  <w:r w:rsidRPr="00B7557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41716D" w:rsidRDefault="0041716D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1979</w:t>
                  </w:r>
                  <w:r w:rsidR="00783714" w:rsidRPr="0041716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783714" w:rsidRPr="0066512B" w:rsidTr="00A56421">
              <w:tc>
                <w:tcPr>
                  <w:tcW w:w="3795" w:type="dxa"/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Лицензия</w:t>
                  </w:r>
                </w:p>
              </w:tc>
              <w:tc>
                <w:tcPr>
                  <w:tcW w:w="4989" w:type="dxa"/>
                  <w:hideMark/>
                </w:tcPr>
                <w:p w:rsidR="00783714" w:rsidRPr="0066512B" w:rsidRDefault="00A244FC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3A0F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серия 20 Л02 №0000335 от 08.06.2015</w:t>
                  </w:r>
                </w:p>
              </w:tc>
            </w:tr>
            <w:tr w:rsidR="00A244FC" w:rsidRPr="0066512B" w:rsidTr="00A56421">
              <w:tc>
                <w:tcPr>
                  <w:tcW w:w="3795" w:type="dxa"/>
                  <w:hideMark/>
                </w:tcPr>
                <w:p w:rsidR="00A244FC" w:rsidRPr="0066512B" w:rsidRDefault="00A244FC" w:rsidP="00A244F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0F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Устав    </w:t>
                  </w:r>
                </w:p>
              </w:tc>
              <w:tc>
                <w:tcPr>
                  <w:tcW w:w="4989" w:type="dxa"/>
                  <w:hideMark/>
                </w:tcPr>
                <w:p w:rsidR="00A244FC" w:rsidRPr="003A0F52" w:rsidRDefault="00A244FC" w:rsidP="00A56421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A0F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серия 20 Л02 №0000335 от 08.06.2015</w:t>
                  </w:r>
                </w:p>
              </w:tc>
            </w:tr>
          </w:tbl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Pr="00A244FC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B755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№4 «Сказка» с. </w:t>
            </w:r>
            <w:proofErr w:type="spellStart"/>
            <w:r w:rsidRPr="00B755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Алпатово</w:t>
            </w:r>
            <w:proofErr w:type="spellEnd"/>
            <w:r w:rsidRPr="00B755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Наурского муниципального района»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(далее –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Детский сад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</w:t>
            </w:r>
            <w:r w:rsidR="00A24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размещается</w:t>
            </w:r>
            <w:r w:rsidR="00A244FC" w:rsidRPr="00315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типовом двух этажном  здании. Имеется большой участок для размещения игровых площадок</w:t>
            </w:r>
            <w:r w:rsidRPr="00B755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Здание Детского сада построено по типовому проекту</w:t>
            </w:r>
            <w:r w:rsidR="00A244FC" w:rsidRP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 Проектная наполняемость на 320</w:t>
            </w:r>
            <w:r w:rsidRP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мест.</w:t>
            </w:r>
            <w:r w:rsidRPr="00B755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56421" w:rsidRP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</w:t>
            </w:r>
            <w:r w:rsidR="00A244FC" w:rsidRP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56421" w:rsidRP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площадь</w:t>
            </w:r>
            <w:r w:rsidR="00A244FC" w:rsidRP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56421" w:rsidRP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1981,06 кв. м.</w:t>
            </w:r>
            <w:r w:rsidR="00A56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 площадь здания 1256</w:t>
            </w:r>
            <w:r w:rsidRP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кв. м, из них п</w:t>
            </w:r>
            <w:r w:rsid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лощадь помещений, используемых н</w:t>
            </w:r>
            <w:r w:rsidRP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епосредственно для нужд образовательного процесса, </w:t>
            </w:r>
            <w:r w:rsid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1428,2</w:t>
            </w:r>
            <w:r w:rsidRPr="00A244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кв. м.</w:t>
            </w:r>
          </w:p>
          <w:p w:rsidR="00783714" w:rsidRPr="00B75578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 деятельности Детского сада – осуществление образовательной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</w:t>
            </w:r>
            <w:r w:rsidRPr="00B755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реализации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образовательных программ дошкольного образования.</w:t>
            </w:r>
          </w:p>
          <w:p w:rsidR="00783714" w:rsidRPr="00B75578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Режим работы Детского сада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Рабочая неделя – пятидневная, с понедельника по пятницу. Длительность пребывания детей в группах – 12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часов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4 часа</w:t>
            </w:r>
            <w:r w:rsid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Режим работы групп – с 7:00 до 19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:00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9.00 до 13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714" w:rsidRPr="00B75578" w:rsidRDefault="00783714" w:rsidP="00A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75578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lastRenderedPageBreak/>
              <w:t>Аналитическая часть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Оценка образовательной деятельности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в Детском саду организована в соответствии с </w:t>
            </w:r>
            <w:hyperlink r:id="rId5" w:anchor="/document/99/902389617/" w:history="1">
              <w:r w:rsidRPr="0066512B">
                <w:rPr>
                  <w:rFonts w:ascii="Times New Roman" w:eastAsia="Times New Roman" w:hAnsi="Times New Roman" w:cs="Times New Roman"/>
                  <w:iCs/>
                  <w:color w:val="01745C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«Об образовании в Российской Федерации», </w:t>
            </w:r>
            <w:proofErr w:type="spellStart"/>
            <w:r w:rsidR="001B2DEC">
              <w:fldChar w:fldCharType="begin"/>
            </w:r>
            <w:r w:rsidR="008E1B0E">
              <w:instrText>HYPERLINK "https://vip.1obraz.ru/" \l "/document/99/499057887/"</w:instrText>
            </w:r>
            <w:r w:rsidR="001B2DEC">
              <w:fldChar w:fldCharType="separate"/>
            </w:r>
            <w:r w:rsidRPr="0066512B">
              <w:rPr>
                <w:rFonts w:ascii="Times New Roman" w:eastAsia="Times New Roman" w:hAnsi="Times New Roman" w:cs="Times New Roman"/>
                <w:iCs/>
                <w:color w:val="01745C"/>
                <w:sz w:val="28"/>
                <w:szCs w:val="28"/>
                <w:lang w:eastAsia="ru-RU"/>
              </w:rPr>
              <w:t>ФГОС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color w:val="01745C"/>
                <w:sz w:val="28"/>
                <w:szCs w:val="28"/>
                <w:lang w:eastAsia="ru-RU"/>
              </w:rPr>
              <w:t xml:space="preserve"> дошкольного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color w:val="01745C"/>
                <w:sz w:val="28"/>
                <w:szCs w:val="28"/>
                <w:lang w:eastAsia="ru-RU"/>
              </w:rPr>
              <w:t>образовани</w:t>
            </w:r>
            <w:r w:rsidR="001B2DEC">
              <w:fldChar w:fldCharType="end"/>
            </w:r>
            <w:hyperlink r:id="rId6" w:anchor="/document/99/499057887/" w:history="1">
              <w:r w:rsidRPr="0066512B">
                <w:rPr>
                  <w:rFonts w:ascii="Times New Roman" w:eastAsia="Times New Roman" w:hAnsi="Times New Roman" w:cs="Times New Roman"/>
                  <w:iCs/>
                  <w:color w:val="01745C"/>
                  <w:sz w:val="28"/>
                  <w:szCs w:val="28"/>
                  <w:lang w:eastAsia="ru-RU"/>
                </w:rPr>
                <w:t>я</w:t>
              </w:r>
              <w:proofErr w:type="gramEnd"/>
            </w:hyperlink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 </w:t>
            </w:r>
            <w:hyperlink r:id="rId7" w:anchor="/document/97/485031/" w:history="1">
              <w:r w:rsidRPr="0066512B">
                <w:rPr>
                  <w:rFonts w:ascii="Times New Roman" w:eastAsia="Times New Roman" w:hAnsi="Times New Roman" w:cs="Times New Roman"/>
                  <w:iCs/>
                  <w:color w:val="01745C"/>
                  <w:sz w:val="28"/>
                  <w:szCs w:val="28"/>
                  <w:lang w:eastAsia="ru-RU"/>
                </w:rPr>
                <w:t>СП 2.4.3648-20</w:t>
              </w:r>
            </w:hyperlink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proofErr w:type="spellStart"/>
            <w:r w:rsidR="001B2DEC">
              <w:fldChar w:fldCharType="begin"/>
            </w:r>
            <w:r w:rsidR="008E1B0E">
              <w:instrText>HYPERLINK "https://vip.1obraz.ru/" \l "/document/99/499057887/"</w:instrText>
            </w:r>
            <w:r w:rsidR="001B2DEC">
              <w:fldChar w:fldCharType="separate"/>
            </w:r>
            <w:r w:rsidRPr="0066512B">
              <w:rPr>
                <w:rFonts w:ascii="Times New Roman" w:eastAsia="Times New Roman" w:hAnsi="Times New Roman" w:cs="Times New Roman"/>
                <w:iCs/>
                <w:color w:val="01745C"/>
                <w:sz w:val="28"/>
                <w:szCs w:val="28"/>
                <w:lang w:eastAsia="ru-RU"/>
              </w:rPr>
              <w:t>ФГОС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color w:val="01745C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="001B2DEC">
              <w:fldChar w:fldCharType="end"/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с учетом примерной образовательной программы дошкольного образования, санитарно-эпидемиологическими правилами и нормативами.</w:t>
            </w:r>
          </w:p>
          <w:p w:rsidR="00A56421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Детский сад посещают </w:t>
            </w:r>
            <w:r w:rsidR="00A56421" w:rsidRP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B755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 в возрасте от 1,5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 7 ле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В Детском саду сформировано 12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групп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направленности. </w:t>
            </w: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240"/>
              <w:gridCol w:w="1843"/>
              <w:gridCol w:w="1843"/>
            </w:tblGrid>
            <w:tr w:rsidR="002744A2" w:rsidRPr="003A0F52" w:rsidTr="002744A2">
              <w:trPr>
                <w:trHeight w:val="825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2744A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0F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</w:t>
                  </w:r>
                </w:p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 2020</w:t>
                  </w:r>
                  <w:r w:rsidRPr="003A0F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843" w:type="dxa"/>
                </w:tcPr>
                <w:p w:rsidR="002744A2" w:rsidRPr="002744A2" w:rsidRDefault="002744A2" w:rsidP="002744A2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74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воспитанников</w:t>
                  </w:r>
                </w:p>
                <w:p w:rsidR="002744A2" w:rsidRDefault="002744A2" w:rsidP="002744A2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74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 2020г.</w:t>
                  </w:r>
                </w:p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744A2" w:rsidRPr="003A0F52" w:rsidTr="002744A2">
              <w:trPr>
                <w:trHeight w:val="236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0F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Первая группа раннего возраста 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2744A2" w:rsidRPr="003A0F52" w:rsidTr="002744A2">
              <w:trPr>
                <w:trHeight w:val="225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0F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Вторая группа раннего возраста 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2744A2" w:rsidRPr="003A0F52" w:rsidTr="002744A2">
              <w:trPr>
                <w:trHeight w:val="229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4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Младшая группа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2744A2" w:rsidRPr="003A0F52" w:rsidTr="002744A2">
              <w:trPr>
                <w:trHeight w:val="233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4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группа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</w:tr>
            <w:tr w:rsidR="002744A2" w:rsidRPr="003A0F52" w:rsidTr="002744A2">
              <w:trPr>
                <w:trHeight w:val="270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4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Старшая группа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2744A2" w:rsidRPr="003A0F52" w:rsidTr="002744A2">
              <w:trPr>
                <w:trHeight w:val="270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744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Подготовительная группа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744A2" w:rsidRPr="003A0F52" w:rsidTr="002744A2">
              <w:trPr>
                <w:trHeight w:val="270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4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кратковременного пребывания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2744A2" w:rsidRPr="003A0F52" w:rsidTr="002744A2">
              <w:trPr>
                <w:trHeight w:val="221"/>
              </w:trPr>
              <w:tc>
                <w:tcPr>
                  <w:tcW w:w="5240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2744A2" w:rsidRPr="003A0F52" w:rsidRDefault="002744A2" w:rsidP="002744A2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двух форматах –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онлайн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предоставление записи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имеющихся ресурсах (облачные сервисы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Яндекс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Mail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Google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YouTube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). Право выбора предоставлялось родителям (законным представителям) исходя из имеющихся условий для участия их детей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онлайн-занятий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количества просмотров в записи по всем образовательным областям свидетельствует 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достаточной вовлеченности 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не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понимании родителями ответственности за качество образования своих детей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Воспитательная работа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Чтобы выбрать стратегию воспитательной работы, в 2020 году проводился анализ состава семей воспитанников.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семей по составу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6"/>
              <w:gridCol w:w="2409"/>
              <w:gridCol w:w="3886"/>
            </w:tblGrid>
            <w:tr w:rsidR="00783714" w:rsidRPr="008B1058" w:rsidTr="008B105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38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Процент от общего количества семей воспитанников</w:t>
                  </w:r>
                </w:p>
              </w:tc>
            </w:tr>
            <w:tr w:rsidR="00783714" w:rsidRPr="008B1058" w:rsidTr="008B105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Полная</w:t>
                  </w:r>
                  <w:proofErr w:type="gramEnd"/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A56421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</w:t>
                  </w:r>
                  <w:r w:rsidR="00B82BE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38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94,4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83714" w:rsidRPr="008B1058" w:rsidTr="008B105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Неполная</w:t>
                  </w:r>
                  <w:proofErr w:type="gramEnd"/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B82BE9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8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2,8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83714" w:rsidRPr="008B1058" w:rsidTr="008B105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Неполная</w:t>
                  </w:r>
                  <w:proofErr w:type="gramEnd"/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B82BE9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8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2,5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83714" w:rsidRPr="008B1058" w:rsidTr="008B105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0,3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</w:tbl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6"/>
              <w:gridCol w:w="2270"/>
              <w:gridCol w:w="3985"/>
            </w:tblGrid>
            <w:tr w:rsidR="00783714" w:rsidRPr="008B1058" w:rsidTr="00A56421"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2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Процент от общего количества семей воспитанников</w:t>
                  </w:r>
                </w:p>
              </w:tc>
            </w:tr>
            <w:tr w:rsidR="00783714" w:rsidRPr="008B1058" w:rsidTr="00A56421"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2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B82BE9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3,7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83714" w:rsidRPr="008B1058" w:rsidTr="00A56421"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2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B82BE9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13,1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83714" w:rsidRPr="008B1058" w:rsidTr="00A56421"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2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267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8B1058" w:rsidRDefault="00697F2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83,2</w:t>
                  </w:r>
                  <w:r w:rsidR="00783714" w:rsidRPr="008B10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</w:tbl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первые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месяцы после зачисления в Детский сад.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2020 году в Детском саду работали кружки по направлениям:</w:t>
            </w:r>
          </w:p>
          <w:p w:rsidR="00783714" w:rsidRPr="007F3C19" w:rsidRDefault="00783714" w:rsidP="00A5642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6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воспитанию дошкольников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программе</w:t>
            </w:r>
            <w:r w:rsidRPr="007F3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«Твори добро»</w:t>
            </w:r>
          </w:p>
          <w:p w:rsidR="00783714" w:rsidRPr="007F3C19" w:rsidRDefault="00783714" w:rsidP="00A5642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подготовка</w:t>
            </w:r>
            <w:r w:rsidRPr="00C6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к школе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C6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Pr="007F3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F3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АБВГДейка</w:t>
            </w:r>
            <w:proofErr w:type="spellEnd"/>
            <w:r w:rsidRPr="007F3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дополнительном образовании задействовано 75 процентов воспитанников Детского сада.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1058" w:rsidRDefault="008B1058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1058" w:rsidRDefault="008B1058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1058" w:rsidRDefault="008B1058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44A2" w:rsidRDefault="002744A2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Оценка системы управления организации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 Детским садом осуществляется в соответствии с действующим законодательством и уставом Детского сада.</w:t>
            </w:r>
          </w:p>
          <w:p w:rsidR="00783714" w:rsidRPr="0066512B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="00783714"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</w:t>
            </w:r>
            <w:proofErr w:type="gramStart"/>
            <w:r w:rsidR="00783714"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Единоличным исполнительным</w:t>
            </w:r>
            <w:proofErr w:type="gramEnd"/>
            <w:r w:rsidR="00783714"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органом является руководитель – заведующий.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Органы управления, действующие в Детском саду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0"/>
              <w:gridCol w:w="6311"/>
            </w:tblGrid>
            <w:tr w:rsidR="00783714" w:rsidRPr="0066512B" w:rsidTr="00A56421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Функции</w:t>
                  </w:r>
                </w:p>
              </w:tc>
            </w:tr>
            <w:tr w:rsidR="00783714" w:rsidRPr="0066512B" w:rsidTr="00A56421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C676B3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</w:t>
                  </w:r>
                  <w:r w:rsidRPr="00C676B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утверждает штатное расписание, отчетные документы организации, осуществляет общее руководство Детским садом</w:t>
                  </w:r>
                </w:p>
              </w:tc>
            </w:tr>
            <w:tr w:rsidR="00783714" w:rsidRPr="0066512B" w:rsidTr="00A56421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Рассматривает вопросы: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развития образовательной организации;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финансово-хозяйственной деятельности;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783714" w:rsidRPr="0066512B" w:rsidTr="00A56421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C676B3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Осуществляет текущее руководство образовательно</w:t>
                  </w:r>
                  <w:r w:rsidR="00A5642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й д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еятельностью Детского сада, в том числе рассматривае</w:t>
                  </w:r>
                  <w:r w:rsidR="00A5642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т 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вопросы: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развития образовательных услуг;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регламентации образовательных отношений;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разработки образовательных программ;</w:t>
                  </w:r>
                </w:p>
                <w:p w:rsidR="00783714" w:rsidRPr="00C676B3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выбора учебников, учебных пособий, средств обучения 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676B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воспитания;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материально-технического обеспечения образовательного процесса;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аттестации, повышении квалификации  педагогических работников;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783714" w:rsidRPr="0066512B" w:rsidTr="00A56421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66512B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714" w:rsidRPr="00C676B3" w:rsidRDefault="00783714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Реализует право работников участвовать в управлении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образовательной организацией, в том числе: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принимать локальные акты, которые регламентируют деятельность образовательной 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организации и связаны с правами и обязанностями работников;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783714" w:rsidRPr="0066512B" w:rsidRDefault="00783714" w:rsidP="00A56421">
                  <w:pPr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  <w:tr w:rsidR="002744A2" w:rsidRPr="0066512B" w:rsidTr="00A56421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4A2" w:rsidRPr="0066512B" w:rsidRDefault="002744A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Родительский комитет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ДОУ</w:t>
                  </w:r>
                  <w:proofErr w:type="spellEnd"/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4A2" w:rsidRDefault="002744A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Содействует обеспечению оптимальных условий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для организации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образовательного процесса (принимает участие в приобретении учебной литературы, подготовке нагля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дных методических пособий). </w:t>
                  </w: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744A2" w:rsidRPr="0066512B" w:rsidRDefault="002744A2" w:rsidP="00A56421">
                  <w:pPr>
                    <w:framePr w:hSpace="180" w:wrap="around" w:vAnchor="page" w:hAnchor="margin" w:y="79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Координирует деятельность </w:t>
                  </w:r>
                  <w:r w:rsidRPr="002744A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родительских</w:t>
                  </w: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советов групп </w:t>
                  </w:r>
                  <w:r w:rsidRPr="002744A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детского</w:t>
                  </w: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2744A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сада</w:t>
                  </w:r>
                  <w:r w:rsidRPr="002744A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83714" w:rsidRPr="00C676B3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Структура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система управления соответствуют специфике деятельности Детского сада. В 2020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Дополнительно расширили обязанности заместителя заведующего и старшего воспитателя по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качеством образования и добавили контроль организации дистанционного обучения.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итогам 2020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Оценка содержания и качества подготовки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783714" w:rsidRPr="0066512B" w:rsidRDefault="00783714" w:rsidP="00A564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диагностическая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(по каждому разделу программы);</w:t>
            </w:r>
          </w:p>
          <w:p w:rsidR="00783714" w:rsidRPr="0066512B" w:rsidRDefault="00783714" w:rsidP="00A564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наблюдения, итоговые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Разработаны диагностические карты освоения основной образовательной программы дошкольного образования Детского сада (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ООП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ООП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Детского сада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конец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2020 года выглядят следующим образом:</w:t>
            </w:r>
          </w:p>
          <w:p w:rsidR="00783714" w:rsidRPr="005346A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Всего в детском саду </w:t>
            </w:r>
            <w:r w:rsidR="002744A2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 групп, </w:t>
            </w:r>
            <w:r w:rsidR="002744A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714" w:rsidRPr="005346A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диагностику – 7 групп, 170</w:t>
            </w: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воспитанника. </w:t>
            </w:r>
          </w:p>
          <w:p w:rsidR="0078371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>Из них имеют:</w:t>
            </w:r>
          </w:p>
          <w:p w:rsidR="0078371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 – 9%</w:t>
            </w:r>
            <w:proofErr w:type="gramEnd"/>
          </w:p>
          <w:p w:rsidR="0078371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 – 67,4%</w:t>
            </w:r>
            <w:proofErr w:type="gramEnd"/>
          </w:p>
          <w:p w:rsidR="0078371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 – 23,6%</w:t>
            </w:r>
            <w:proofErr w:type="gramEnd"/>
          </w:p>
          <w:p w:rsidR="00783714" w:rsidRDefault="00783714" w:rsidP="00A5642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326390</wp:posOffset>
                  </wp:positionV>
                  <wp:extent cx="5305425" cy="3562350"/>
                  <wp:effectExtent l="57150" t="19050" r="9525" b="0"/>
                  <wp:wrapNone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p w:rsidR="00783714" w:rsidRDefault="00783714" w:rsidP="00A5642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A1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освоения программного материала воспитанниками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возрастным группам</w:t>
            </w: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-29210</wp:posOffset>
                  </wp:positionV>
                  <wp:extent cx="5972175" cy="4181475"/>
                  <wp:effectExtent l="19050" t="0" r="9525" b="0"/>
                  <wp:wrapNone/>
                  <wp:docPr id="18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высокие результаты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группе «Березка», наиболее низкий результат в младшей группе «Одуванчик»</w:t>
            </w: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421" w:rsidRPr="005346A4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Во всех группах в основном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5346A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по всем показателям, педагоги уделяют должное внимание развитию детей по всем направлениям.</w:t>
            </w:r>
          </w:p>
          <w:p w:rsidR="00A56421" w:rsidRPr="00A56421" w:rsidRDefault="00A56421" w:rsidP="00A5642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6A4">
              <w:rPr>
                <w:rFonts w:ascii="Times New Roman" w:hAnsi="Times New Roman" w:cs="Times New Roman"/>
                <w:sz w:val="28"/>
                <w:szCs w:val="28"/>
              </w:rPr>
      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      </w:r>
            <w:proofErr w:type="gramEnd"/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r w:rsidR="00A56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мае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2020 года педагоги Детского сада проводили обследование воспитанников подготовительной группы на предмет оценки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предпосылок к учеб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ной деятельности в количестве 58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человек.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Задания позволили оценить уровень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proofErr w:type="gramEnd"/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56421" w:rsidRDefault="00A56421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31103" w:rsidRPr="0062711F" w:rsidRDefault="00331103" w:rsidP="003311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7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Общий анализ усвоение программы:</w:t>
            </w:r>
          </w:p>
          <w:p w:rsidR="00331103" w:rsidRDefault="00331103" w:rsidP="003311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397"/>
              <w:gridCol w:w="1205"/>
              <w:gridCol w:w="1255"/>
              <w:gridCol w:w="1321"/>
            </w:tblGrid>
            <w:tr w:rsidR="00331103" w:rsidTr="00B82BE9">
              <w:trPr>
                <w:trHeight w:val="356"/>
              </w:trPr>
              <w:tc>
                <w:tcPr>
                  <w:tcW w:w="3397" w:type="dxa"/>
                  <w:vMerge w:val="restart"/>
                </w:tcPr>
                <w:p w:rsidR="00331103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1" w:type="dxa"/>
                  <w:gridSpan w:val="3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3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конец учебного</w:t>
                  </w:r>
                  <w:r w:rsidRPr="00543F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(май 2020г.)</w:t>
                  </w:r>
                </w:p>
              </w:tc>
            </w:tr>
            <w:tr w:rsidR="00331103" w:rsidTr="00B82BE9">
              <w:trPr>
                <w:trHeight w:val="282"/>
              </w:trPr>
              <w:tc>
                <w:tcPr>
                  <w:tcW w:w="3397" w:type="dxa"/>
                  <w:vMerge/>
                </w:tcPr>
                <w:p w:rsidR="00331103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Высокий</w:t>
                  </w:r>
                  <w:proofErr w:type="gramEnd"/>
                </w:p>
              </w:tc>
              <w:tc>
                <w:tcPr>
                  <w:tcW w:w="1255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Средний </w:t>
                  </w:r>
                  <w:proofErr w:type="gramEnd"/>
                </w:p>
              </w:tc>
              <w:tc>
                <w:tcPr>
                  <w:tcW w:w="1321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Низкий </w:t>
                  </w:r>
                  <w:proofErr w:type="gramEnd"/>
                </w:p>
              </w:tc>
            </w:tr>
            <w:tr w:rsidR="00331103" w:rsidTr="00B82BE9">
              <w:trPr>
                <w:trHeight w:val="638"/>
              </w:trPr>
              <w:tc>
                <w:tcPr>
                  <w:tcW w:w="3397" w:type="dxa"/>
                </w:tcPr>
                <w:p w:rsidR="00331103" w:rsidRPr="003D5C6F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Подготовительные группы</w:t>
                  </w:r>
                </w:p>
              </w:tc>
              <w:tc>
                <w:tcPr>
                  <w:tcW w:w="1205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14,4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82,7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2,9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31103" w:rsidRDefault="00331103" w:rsidP="0033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1103" w:rsidRDefault="00331103" w:rsidP="0033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62711F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62711F">
              <w:rPr>
                <w:rFonts w:ascii="Times New Roman" w:hAnsi="Times New Roman" w:cs="Times New Roman"/>
                <w:sz w:val="28"/>
              </w:rPr>
              <w:t>ФИЗО</w:t>
            </w:r>
            <w:proofErr w:type="spellEnd"/>
            <w:r w:rsidRPr="0062711F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в мае 2020 года проводила мониторинг усвоения детьми программы по физическому воспитанию.</w:t>
            </w:r>
          </w:p>
          <w:p w:rsidR="00331103" w:rsidRPr="00E70318" w:rsidRDefault="00331103" w:rsidP="00331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70318">
              <w:rPr>
                <w:rFonts w:ascii="Times New Roman" w:hAnsi="Times New Roman" w:cs="Times New Roman"/>
                <w:b/>
                <w:sz w:val="28"/>
              </w:rPr>
              <w:t>Результаты: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437"/>
              <w:gridCol w:w="1221"/>
              <w:gridCol w:w="1271"/>
              <w:gridCol w:w="1337"/>
            </w:tblGrid>
            <w:tr w:rsidR="00331103" w:rsidTr="00331103">
              <w:trPr>
                <w:trHeight w:val="380"/>
              </w:trPr>
              <w:tc>
                <w:tcPr>
                  <w:tcW w:w="3437" w:type="dxa"/>
                  <w:vMerge w:val="restart"/>
                </w:tcPr>
                <w:p w:rsidR="00331103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gridSpan w:val="3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110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 конец учебного года (май 2020г.)</w:t>
                  </w:r>
                </w:p>
              </w:tc>
            </w:tr>
            <w:tr w:rsidR="00331103" w:rsidTr="00331103">
              <w:trPr>
                <w:trHeight w:val="301"/>
              </w:trPr>
              <w:tc>
                <w:tcPr>
                  <w:tcW w:w="3437" w:type="dxa"/>
                  <w:vMerge/>
                </w:tcPr>
                <w:p w:rsidR="00331103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Высокий</w:t>
                  </w:r>
                  <w:proofErr w:type="gramEnd"/>
                </w:p>
              </w:tc>
              <w:tc>
                <w:tcPr>
                  <w:tcW w:w="1271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Средний </w:t>
                  </w:r>
                  <w:proofErr w:type="gramEnd"/>
                </w:p>
              </w:tc>
              <w:tc>
                <w:tcPr>
                  <w:tcW w:w="1337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Низкий </w:t>
                  </w:r>
                  <w:proofErr w:type="gramEnd"/>
                </w:p>
              </w:tc>
            </w:tr>
            <w:tr w:rsidR="00331103" w:rsidTr="00331103">
              <w:trPr>
                <w:trHeight w:val="697"/>
              </w:trPr>
              <w:tc>
                <w:tcPr>
                  <w:tcW w:w="3437" w:type="dxa"/>
                </w:tcPr>
                <w:p w:rsidR="00331103" w:rsidRPr="003D5C6F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Подготовительные группы</w:t>
                  </w:r>
                </w:p>
              </w:tc>
              <w:tc>
                <w:tcPr>
                  <w:tcW w:w="1221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1,4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75,7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22,9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31103" w:rsidRDefault="00331103" w:rsidP="0033110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331103" w:rsidRDefault="00331103" w:rsidP="0033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ab/>
              <w:t>Педагог-психолог провела с детьми подготовительной группы обследование в конце учебного года, по готовности к школе</w:t>
            </w:r>
          </w:p>
          <w:p w:rsidR="00331103" w:rsidRDefault="00331103" w:rsidP="0033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31103" w:rsidRPr="00DF5407" w:rsidRDefault="00331103" w:rsidP="003311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540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Результаты обследование на готовность к школе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468"/>
              <w:gridCol w:w="1231"/>
              <w:gridCol w:w="1282"/>
              <w:gridCol w:w="1348"/>
            </w:tblGrid>
            <w:tr w:rsidR="00331103" w:rsidTr="00331103">
              <w:trPr>
                <w:trHeight w:val="380"/>
              </w:trPr>
              <w:tc>
                <w:tcPr>
                  <w:tcW w:w="3468" w:type="dxa"/>
                  <w:vMerge w:val="restart"/>
                </w:tcPr>
                <w:p w:rsidR="00331103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60" w:type="dxa"/>
                  <w:gridSpan w:val="3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110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 конец учебного года (май 2020г.)</w:t>
                  </w:r>
                </w:p>
              </w:tc>
            </w:tr>
            <w:tr w:rsidR="00331103" w:rsidTr="00331103">
              <w:trPr>
                <w:trHeight w:val="301"/>
              </w:trPr>
              <w:tc>
                <w:tcPr>
                  <w:tcW w:w="3468" w:type="dxa"/>
                  <w:vMerge/>
                </w:tcPr>
                <w:p w:rsidR="00331103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1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Высокий</w:t>
                  </w:r>
                  <w:proofErr w:type="gramEnd"/>
                </w:p>
              </w:tc>
              <w:tc>
                <w:tcPr>
                  <w:tcW w:w="1282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Средний </w:t>
                  </w:r>
                  <w:proofErr w:type="gramEnd"/>
                </w:p>
              </w:tc>
              <w:tc>
                <w:tcPr>
                  <w:tcW w:w="1348" w:type="dxa"/>
                </w:tcPr>
                <w:p w:rsidR="00331103" w:rsidRPr="00543F57" w:rsidRDefault="00331103" w:rsidP="00331103">
                  <w:pPr>
                    <w:framePr w:hSpace="180" w:wrap="around" w:vAnchor="page" w:hAnchor="margin" w:y="796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543F57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Низкий </w:t>
                  </w:r>
                  <w:proofErr w:type="gramEnd"/>
                </w:p>
              </w:tc>
            </w:tr>
            <w:tr w:rsidR="00331103" w:rsidTr="00331103">
              <w:trPr>
                <w:trHeight w:val="681"/>
              </w:trPr>
              <w:tc>
                <w:tcPr>
                  <w:tcW w:w="3468" w:type="dxa"/>
                </w:tcPr>
                <w:p w:rsidR="00331103" w:rsidRPr="003D5C6F" w:rsidRDefault="00331103" w:rsidP="00331103">
                  <w:pPr>
                    <w:framePr w:hSpace="180" w:wrap="around" w:vAnchor="page" w:hAnchor="margin" w:y="79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Подготовительные группы</w:t>
                  </w:r>
                </w:p>
              </w:tc>
              <w:tc>
                <w:tcPr>
                  <w:tcW w:w="1231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14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55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vAlign w:val="bottom"/>
                </w:tcPr>
                <w:p w:rsidR="00331103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0</w:t>
                  </w:r>
                </w:p>
                <w:p w:rsidR="00331103" w:rsidRPr="006D424D" w:rsidRDefault="00331103" w:rsidP="00331103">
                  <w:pPr>
                    <w:framePr w:hSpace="180" w:wrap="around" w:vAnchor="page" w:hAnchor="margin" w:y="796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в период самоизоляции, введенной в качестве ограничительного мероприятия в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Чеченской Республике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воспитатели вели дистанционно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Skype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Zoom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WhatsApp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Опрос музыкального руководителя, педагога-психолога, педагога-логопеда и инструктора по физической культуре показал, что наряду с техническими сложностями проведения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ОД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дистанционном режиме, были трудности в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 ст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ороны родителей. Вывод: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подобную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лучше проводить преимущественно при очном взаимодействии педагога и воспитанника.</w:t>
            </w:r>
          </w:p>
          <w:p w:rsidR="00331103" w:rsidRPr="00331103" w:rsidRDefault="00331103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Оценка организации учебного процесса (воспитательно-образовательного процесса)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форма организации образовательного процесса: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самостоятельная деятельность воспитанников под наблюдением педагогического работника.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образовательной деятельности ведутся по подгруппам. Продолжительность занятий соответствует </w:t>
            </w:r>
            <w:proofErr w:type="spellStart"/>
            <w:r w:rsidR="001B2DEC">
              <w:fldChar w:fldCharType="begin"/>
            </w:r>
            <w:r w:rsidR="008E1B0E">
              <w:instrText>HYPERLINK "https://vip.1obraz.ru/" \l "/document/97/486051/infobar-attachment/"</w:instrText>
            </w:r>
            <w:r w:rsidR="001B2DEC">
              <w:fldChar w:fldCharType="separate"/>
            </w:r>
            <w:r w:rsidRPr="0066512B">
              <w:rPr>
                <w:rFonts w:ascii="Times New Roman" w:eastAsia="Times New Roman" w:hAnsi="Times New Roman" w:cs="Times New Roman"/>
                <w:color w:val="01745C"/>
                <w:sz w:val="28"/>
                <w:szCs w:val="28"/>
                <w:lang w:eastAsia="ru-RU"/>
              </w:rPr>
              <w:t>СанПиН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color w:val="01745C"/>
                <w:sz w:val="28"/>
                <w:szCs w:val="28"/>
                <w:lang w:eastAsia="ru-RU"/>
              </w:rPr>
              <w:t xml:space="preserve"> 1.2.3685-21</w:t>
            </w:r>
            <w:r w:rsidR="001B2DEC">
              <w:fldChar w:fldCharType="end"/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составляет:</w:t>
            </w:r>
          </w:p>
          <w:p w:rsidR="00783714" w:rsidRPr="00905EEC" w:rsidRDefault="00783714" w:rsidP="0078371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 от 1,5 до 2 лет – до 9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мин;</w:t>
            </w:r>
          </w:p>
          <w:p w:rsidR="00783714" w:rsidRPr="0066512B" w:rsidRDefault="00783714" w:rsidP="0078371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детьми от 2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 лет – до 10 мин;</w:t>
            </w:r>
          </w:p>
          <w:p w:rsidR="00783714" w:rsidRPr="0066512B" w:rsidRDefault="00783714" w:rsidP="0078371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детьми от 3 до 4 лет – до 15 мин;</w:t>
            </w:r>
          </w:p>
          <w:p w:rsidR="00783714" w:rsidRPr="0066512B" w:rsidRDefault="00783714" w:rsidP="0078371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детьми от 4 до 5 лет – до 20 мин;</w:t>
            </w:r>
          </w:p>
          <w:p w:rsidR="00783714" w:rsidRPr="0066512B" w:rsidRDefault="00783714" w:rsidP="0078371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детьми от 5 до 6 лет – до 25 мин;</w:t>
            </w:r>
          </w:p>
          <w:p w:rsidR="00783714" w:rsidRPr="0066512B" w:rsidRDefault="00783714" w:rsidP="0078371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детьми от 6 до 7 лет – до 30 мин.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образовательной деятельности предусмотрены перерывы продолжительностью не менее 10 минут.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Основной формой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не допустить распространения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администрация Детского сада ввела в 2020 году дополнительные ограничительные и профилактические меры в соответствии с СП 3.1/2.4.3598-20: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      </w:r>
            <w:proofErr w:type="spellStart"/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еженедельную генеральную уборку с применением дезинфицирующих средств, разведенных в концентрациях по вирусному режиму;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ежедневную влажную</w:t>
            </w:r>
            <w:proofErr w:type="gramEnd"/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уборку с обработкой всех контактных поверхностей, игрушек и оборудования дезинфицирующими средствами;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дезинфекцию посуды, столовых приборов после каждого использования;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бактерицидные установки в групповых комнатах;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частое проветривание групповых комнат в отсутствие воспитанников;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всех занятий в помещениях групповой ячейки или на открытом воздухе отдельно от других групп;</w:t>
            </w:r>
          </w:p>
          <w:p w:rsidR="00783714" w:rsidRPr="00905EEC" w:rsidRDefault="00783714" w:rsidP="0078371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требование </w:t>
            </w:r>
            <w:proofErr w:type="gramStart"/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врача об отсутствии медицинских противопоказаний для пребывания в детском саду</w:t>
            </w:r>
            <w:proofErr w:type="gramEnd"/>
            <w:r w:rsidRPr="00905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ребенка, который переболел или контактировал с больным COVID-19.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 Оценка качества кадрового обеспечения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Детский сад укомплектован педагогами на 100 процентов согласно штатному расписанию. Всего работают </w:t>
            </w:r>
            <w:r w:rsidR="002744A2" w:rsidRP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  <w:r w:rsidRP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человек</w:t>
            </w:r>
            <w:r w:rsid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Педагогический коллектив Детского сада насчитывает </w:t>
            </w:r>
            <w:r w:rsidR="002744A2" w:rsidRP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специалистов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Соотношение воспитанников, приходящихся на 1 взрослого:</w:t>
            </w:r>
          </w:p>
          <w:p w:rsidR="00783714" w:rsidRPr="002744A2" w:rsidRDefault="002744A2" w:rsidP="002744A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воспитанник/педагоги – 10</w:t>
            </w:r>
            <w:r w:rsidR="00783714" w:rsidRPr="002744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/1;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2020 год педагогические работники прошли аттестацию и получили:</w:t>
            </w:r>
          </w:p>
          <w:p w:rsidR="00783714" w:rsidRPr="00DB3BE9" w:rsidRDefault="00783714" w:rsidP="0078371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перву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 квалификационную категорию – 3 воспитателя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83714" w:rsidRPr="0041716D" w:rsidRDefault="00783714" w:rsidP="0041716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Аттестацию на соответствие занимаемой должности прошли 8 педагогов</w:t>
            </w:r>
          </w:p>
          <w:p w:rsidR="0041716D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Курсы </w:t>
            </w:r>
            <w:hyperlink r:id="rId10" w:anchor="/document/16/4019/" w:history="1">
              <w:r w:rsidRPr="0041716D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повышения квалификации</w:t>
              </w:r>
            </w:hyperlink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2020 году </w:t>
            </w:r>
            <w:r w:rsidR="004171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прошли 100 % педагогических работников.</w:t>
            </w:r>
          </w:p>
          <w:p w:rsidR="0041716D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  <w:r w:rsidR="0041716D">
              <w:t xml:space="preserve"> </w:t>
            </w:r>
            <w:r w:rsidR="0041716D" w:rsidRPr="004171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Переподготовку прошли 5 педагогов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171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итогам 2020 года Детский сад перешел на применение пр</w:t>
            </w:r>
            <w:r w:rsid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офессиональных стандартов. Из 32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педагогическ</w:t>
            </w:r>
            <w:r w:rsidR="004171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их работников Детского сада все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соответствуют квалификационным требованиям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«Педагог». Их должностные инструкции соответствуют трудовым функциям, установленным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профстандартом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«Педагог».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педагоги Детского сада приняли участие в педагогическом форуме «Воспитатели России»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Диаграмма с характеристиками кадрового состава Детского сада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саморазвиваются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в связи с ограничительными мерами по предотвращению распространения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педагоги использовали в работе дистанционные образовательные технологии.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испытывали существенные трудности, связанные с отсутствием необходимых компетенций для подготовки к дистанционным занятиям и их проведе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нию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99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 педагогов отметили, что в их педагогической деятельности ранее не практиковалась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такая форма обучения и у них не было опыта для ее реализации. Выявились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компетентностные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дефициты в области подготовки заданий для дистанционного обучения, установление контакта с детьми во время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режиме реального времени. Кроме того, существенно осложняла ситуацию низкая мотивация родителей к занятиям с детьми-дошкольниками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5BA" w:rsidRDefault="004F55BA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Оценка учебно-методического и библиотечно-информационного обеспечения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Детском саду </w:t>
            </w:r>
            <w:hyperlink r:id="rId12" w:anchor="/document/16/38785/" w:history="1">
              <w:r w:rsidRPr="00E611D4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библиотека</w:t>
              </w:r>
            </w:hyperlink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является составной частью методической службы.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Библиотечный фонд располагается в методическом кабинете, кабинетах специалистов, группах детского сада.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ООП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2020 году Детский сад пополнил учебно-методический компле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 к пр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имерной общеобразовательной программе дошкольного образования «От рождения до школы» в соответствии с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ФГОС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Приобрели наглядно-дидактические пособия:</w:t>
            </w:r>
          </w:p>
          <w:p w:rsidR="00783714" w:rsidRPr="0066512B" w:rsidRDefault="00783714" w:rsidP="0078371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серии «Мир в картинках», «Рассказы по картинкам», «Расскажите детям о…», «Играем в сказку», «Грамматика в картинках», «Искусство детям»;</w:t>
            </w:r>
          </w:p>
          <w:p w:rsidR="00783714" w:rsidRPr="0066512B" w:rsidRDefault="00783714" w:rsidP="0078371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картины для рассматривания, плакаты;</w:t>
            </w:r>
          </w:p>
          <w:p w:rsidR="00783714" w:rsidRPr="0066512B" w:rsidRDefault="00783714" w:rsidP="0078371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комплексы для оформления родительских уголков;</w:t>
            </w:r>
          </w:p>
          <w:p w:rsidR="00783714" w:rsidRPr="0066512B" w:rsidRDefault="00783714" w:rsidP="0078371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рабочие тетради для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Информационное обеспечение Детского сада включает:</w:t>
            </w:r>
          </w:p>
          <w:p w:rsidR="00783714" w:rsidRPr="0066512B" w:rsidRDefault="00783714" w:rsidP="0078371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информационно-телекоммуникационное оборудование – в 2020 году пополнилось компьютером, 3 принтерами, проектором мультимедиа;</w:t>
            </w:r>
          </w:p>
          <w:p w:rsidR="00783714" w:rsidRPr="0066512B" w:rsidRDefault="00783714" w:rsidP="0078371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программное обеспечение – позволяет работать с текстовыми редакторами,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интернет-ресурсами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фото-, видеоматериалами, графическими редакторами.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Оценка материально-технической базы</w:t>
            </w:r>
          </w:p>
          <w:p w:rsidR="00783714" w:rsidRPr="00315E16" w:rsidRDefault="00783714" w:rsidP="00A564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</w:t>
            </w: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Соответствие материально – технической базы учреждения современным санитарно-гигиеническим и другим нормам подтверждено лицензией на </w:t>
            </w:r>
            <w:proofErr w:type="gramStart"/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 ведения</w:t>
            </w:r>
            <w:proofErr w:type="gramEnd"/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деятельности.</w:t>
            </w:r>
          </w:p>
          <w:p w:rsidR="00783714" w:rsidRPr="00315E16" w:rsidRDefault="00783714" w:rsidP="00A564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 </w:t>
            </w: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ab/>
              <w:t>В учреждении созданы все условия для функционирования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возрастных групп.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Групповые комнаты и спальные комнаты отделены друг от друга. Каждая группа имеет свой вход. Все группы обеспечены на 60% детской мебелью, игровым оборудованием, развивающими игрушками.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Имеется   музыкальный зал.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Методический кабинет, кабинеты заведующего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музыкального руководителя, завхоза частично  имеют современную материально-техническую базу.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 прачечном блоке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установлено необходимое  профессиональное оборудование (стиральная машина автомат (3 шт.),  утюг (2 шт.), шкафы для хранения белья).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имеются медицинский кабинет, изолятор. Качественно и постоянно осуществляется медицинский </w:t>
            </w:r>
            <w:proofErr w:type="gram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здоровья детей с выдачей рекомендаций педагогам и родителям.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Пищеблок состоит из нескольких зон: цеха сырой и готовой продукции, кладовая для сухих продуктов, помещение для холодильных камер.</w:t>
            </w:r>
          </w:p>
          <w:p w:rsidR="00783714" w:rsidRPr="00315E16" w:rsidRDefault="00783714" w:rsidP="00A564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Воспитанники имеют возможность получать горячую, свежеприготовленную диетическую пищу. В ассортименте продуктов еженедельно присутствуют свежие овощи, фрукты и соки.</w:t>
            </w: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 </w:t>
            </w:r>
          </w:p>
          <w:p w:rsidR="00783714" w:rsidRPr="00315E16" w:rsidRDefault="00783714" w:rsidP="00A564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ab/>
              <w:t>Действует  система работы по охране труда и профилактике травматизма. Осуществляется пропускной режим силами сотрудниками детского сада, здание оборудовано «тревожной кнопкой». По периметру территория детского сада обнесена забором. Ограждение без повреждения, имеет ворота и калитку, которые закрываются на замок.</w:t>
            </w:r>
          </w:p>
          <w:p w:rsidR="00783714" w:rsidRPr="00315E16" w:rsidRDefault="00783714" w:rsidP="00A564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ab/>
              <w:t>Соблюдаются  требования пожарной безопасности.  Здание имеет пожарный водопровод, оборудовано пожарной сигнализацией, заключён договор на обслуживание системы пожарной сигнализации, укомплектовано необходимым набором первичных средств пожаротушения: огнетушители, пожарные шкафы.</w:t>
            </w:r>
          </w:p>
          <w:p w:rsidR="00783714" w:rsidRPr="00315E16" w:rsidRDefault="00783714" w:rsidP="00A564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ab/>
              <w:t>Достаточное количество работ выполняется силами работников детского сада.        Большой вклад в благоустройство здания, групповых помещений, прогулочных участков вносит родительская общественность при активной поддержке и инициативе Родительского комитета,  педагогов групп и администрации детского сада.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 территории дошкольного учреждения для каждой возрастной группы отведена отдельная игровая площадка, на которой размещены </w:t>
            </w: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игровые постройки, скамейки. Так же оборудована хозяйственная зона: помещения для хранения хозяйственного инвентаря, места для сушки белья, овощехранилище, площадка для сбора мусора и пищевых отходов.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Территория благоустроена, оформлены цветники,  клумбы, учебно-экологическая тропа, огороды. Территория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огорожена железным забором.  По периметру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ведется видеонаблюдение.</w:t>
            </w:r>
          </w:p>
          <w:p w:rsidR="00783714" w:rsidRPr="00315E16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продуктивной и творческой деятельности детей и сотрудников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образовательно-воспитательном процессе имеются  технические средства обучения: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- 11;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 - 1;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 - 4;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 – 2;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- 4;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- 1;</w:t>
            </w:r>
          </w:p>
          <w:p w:rsidR="00783714" w:rsidRPr="002856EB" w:rsidRDefault="00783714" w:rsidP="0078371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- 1.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Ближайшее окружение – детская библиотека, 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Алпатовская</w:t>
            </w:r>
            <w:proofErr w:type="spellEnd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 и </w:t>
            </w:r>
            <w:proofErr w:type="spellStart"/>
            <w:r w:rsidRPr="0031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 в 2020 году оценка материально-технического оснащения Детского сада при проведении дистанционных занятий с воспитанниками выявила следующие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трудности: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для полноценной (качественной) организации и проведения </w:t>
            </w:r>
            <w:proofErr w:type="spellStart"/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ООД</w:t>
            </w:r>
            <w:proofErr w:type="spellEnd"/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дистанционном формате отсутствует стабильное и устойчивое интернет-соединение;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недостаточно необходимого оборудования (ноутбуков, компьютеров или планшетов) в группах Детского сада;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нет достаточного технического обеспечения для организации массовых </w:t>
            </w:r>
            <w:proofErr w:type="spellStart"/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общесадовских</w:t>
            </w:r>
            <w:proofErr w:type="spellEnd"/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мероприятий с родителями воспитанников.</w:t>
            </w:r>
          </w:p>
          <w:p w:rsidR="00783714" w:rsidRPr="0066512B" w:rsidRDefault="004F55BA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="00783714"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Необходимо в 2021 году запланировать приобретение соответствующего оборудования и программного обеспечения, определить источники финансирования закупки.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VIII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 Оценка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Детском саду утверждено</w:t>
            </w: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3" w:anchor="/document/118/49757/" w:history="1">
              <w:r w:rsidRPr="00BE7F5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      </w:r>
            <w:proofErr w:type="gramEnd"/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Состояние здоровья и физического развития воспитанников удовлетворительные.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67,4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готовности к школьному обучению.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 воспитанники Детского сада успешно участвовали в конкурсах и мероприятиях различного уровня.</w:t>
            </w:r>
          </w:p>
          <w:p w:rsidR="00783714" w:rsidRPr="0066512B" w:rsidRDefault="004F55BA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="00783714"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период с 12.10.2020 по 19.10.2020 </w:t>
            </w:r>
            <w:r w:rsidR="007837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проводилось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онлайн</w:t>
            </w:r>
            <w:proofErr w:type="spellEnd"/>
            <w:r w:rsidR="007837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анкетирование 300</w:t>
            </w:r>
            <w:r w:rsidR="00783714"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родителей, получены следующие результаты: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получателей услуг, положительно оценивающих доброжелательность и вежливость работников организации, – 81 процент;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получателей услуг, удовлетворенных компетентностью работников организации, – 72 процента;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получателей услуг, удовлетворенных материально-техническим обеспечением организации, – 65 процентов;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получателей услуг, удовлетворенных качеством предоставляемых образовательных услуг, – 84 процента;</w:t>
            </w:r>
          </w:p>
          <w:p w:rsidR="00783714" w:rsidRPr="004F55BA" w:rsidRDefault="00783714" w:rsidP="004F55B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получателей услуг, которые готовы рекомендовать организацию родственникам и знакомым, – 92 процента.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анализа опроса родителей (законных представителей) об оценке применения Детским садом дистанционных технологий свидетельствуют о 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достаточном уровне удовлетворенности качеством образовательной деятельности в дистанционном режиме.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Так, 55% родителей отмечают, что работа воспитателей при проведении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онлайн-занятий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была качественной, 35% родителей частично удовлетворены процессом дистанционного освоения образовательной программы и 10% не удовлетворены.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При этом родители считают, что у детей периодически наблюдалось снижение интереса мотивации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дистанционном режиме, что связывают с качеством связи и форматом проведения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в том числе и посредством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гаджетов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5BA" w:rsidRDefault="004F55BA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Результаты 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анализа показателей деятельности организации</w:t>
            </w:r>
            <w:proofErr w:type="gramEnd"/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Данные приве</w:t>
            </w:r>
            <w:r w:rsidR="004F55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дены по состоянию на 30.12.2020 год.</w:t>
            </w:r>
          </w:p>
          <w:tbl>
            <w:tblPr>
              <w:tblStyle w:val="a4"/>
              <w:tblW w:w="9067" w:type="dxa"/>
              <w:tblLayout w:type="fixed"/>
              <w:tblLook w:val="04A0"/>
            </w:tblPr>
            <w:tblGrid>
              <w:gridCol w:w="5947"/>
              <w:gridCol w:w="1700"/>
              <w:gridCol w:w="1420"/>
            </w:tblGrid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4F55BA" w:rsidRDefault="00783714" w:rsidP="0084516C">
                  <w:pPr>
                    <w:framePr w:hSpace="180" w:wrap="around" w:vAnchor="page" w:hAnchor="margin" w:y="7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Единица</w:t>
                  </w: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783714" w:rsidRPr="0066512B" w:rsidTr="003F684C">
              <w:tc>
                <w:tcPr>
                  <w:tcW w:w="9067" w:type="dxa"/>
                  <w:gridSpan w:val="3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количество воспитанников, которые обучаются 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программе дошкольного </w:t>
                  </w: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 обучающиеся: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1716D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32</w:t>
                  </w:r>
                  <w:r w:rsidR="004F55B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режиме полного дня</w:t>
                  </w:r>
                  <w:proofErr w:type="gram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281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форме семейного образования с психолого-педагогическим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сопровождением, которое организует детский сад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256</w:t>
                  </w:r>
                </w:p>
              </w:tc>
            </w:tr>
            <w:tr w:rsidR="00783714" w:rsidRPr="0066512B" w:rsidTr="003F684C">
              <w:trPr>
                <w:trHeight w:val="975"/>
              </w:trPr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(удельный вес) детей от общей численности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321</w:t>
                  </w:r>
                </w:p>
              </w:tc>
            </w:tr>
            <w:tr w:rsidR="00783714" w:rsidRPr="0066512B" w:rsidTr="003F684C">
              <w:trPr>
                <w:trHeight w:val="422"/>
              </w:trPr>
              <w:tc>
                <w:tcPr>
                  <w:tcW w:w="5947" w:type="dxa"/>
                  <w:tcBorders>
                    <w:bottom w:val="single" w:sz="4" w:space="0" w:color="auto"/>
                  </w:tcBorders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83714" w:rsidRPr="00BE7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–12-часового пребывания</w:t>
                  </w:r>
                </w:p>
              </w:tc>
              <w:tc>
                <w:tcPr>
                  <w:tcW w:w="1700" w:type="dxa"/>
                  <w:vMerge/>
                  <w:tcBorders>
                    <w:bottom w:val="single" w:sz="4" w:space="0" w:color="auto"/>
                  </w:tcBorders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hideMark/>
                </w:tcPr>
                <w:p w:rsidR="004F55BA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281</w:t>
                  </w:r>
                </w:p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68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(100%)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воспитанников с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ОВЗ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 общей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4F55BA" w:rsidRDefault="00783714" w:rsidP="0084516C">
                  <w:pPr>
                    <w:framePr w:hSpace="180" w:wrap="around" w:vAnchor="page" w:hAnchor="margin" w:y="796"/>
                    <w:ind w:left="-10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="004F55BA" w:rsidRPr="004F55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обучению по</w:t>
                  </w:r>
                  <w:proofErr w:type="gram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образовательной программе дошкольного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 (0%)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показатель пропущенных по болезни дней на одного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воспитанника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6 дней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том числе количество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педработников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средним профессиональным образованием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педагогической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направленности (профиля)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 (9,4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высшей</w:t>
                  </w:r>
                  <w:proofErr w:type="gramEnd"/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 (0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первой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 (9,4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3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6 (18,7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4F55BA" w:rsidRPr="0066512B" w:rsidTr="003F684C">
              <w:tc>
                <w:tcPr>
                  <w:tcW w:w="5947" w:type="dxa"/>
                  <w:hideMark/>
                </w:tcPr>
                <w:p w:rsidR="004F55BA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3-5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4 </w:t>
                  </w:r>
                  <w:r w:rsid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(12,5</w:t>
                  </w:r>
                  <w:r w:rsidRPr="004F55B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4F55BA" w:rsidRPr="0066512B" w:rsidTr="003F684C">
              <w:tc>
                <w:tcPr>
                  <w:tcW w:w="5947" w:type="dxa"/>
                  <w:hideMark/>
                </w:tcPr>
                <w:p w:rsidR="004F55BA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5-10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8 </w:t>
                  </w:r>
                  <w:r w:rsid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(25</w:t>
                  </w:r>
                  <w:r w:rsidRPr="004F55B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4F55BA" w:rsidRPr="0066512B" w:rsidTr="003F684C">
              <w:tc>
                <w:tcPr>
                  <w:tcW w:w="5947" w:type="dxa"/>
                  <w:hideMark/>
                </w:tcPr>
                <w:p w:rsidR="004F55BA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10-15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2 </w:t>
                  </w:r>
                  <w:r w:rsid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(6,5</w:t>
                  </w:r>
                  <w:r w:rsidRPr="004F55B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4F55BA" w:rsidRPr="0066512B" w:rsidTr="003F684C">
              <w:tc>
                <w:tcPr>
                  <w:tcW w:w="5947" w:type="dxa"/>
                  <w:hideMark/>
                </w:tcPr>
                <w:p w:rsidR="004F55BA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15-20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5 </w:t>
                  </w:r>
                  <w:r w:rsid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(15,6</w:t>
                  </w:r>
                  <w:r w:rsidRPr="004F55B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4F55BA" w:rsidRPr="0066512B" w:rsidTr="003F684C">
              <w:tc>
                <w:tcPr>
                  <w:tcW w:w="5947" w:type="dxa"/>
                  <w:hideMark/>
                </w:tcPr>
                <w:p w:rsidR="004F55BA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и выше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7 </w:t>
                  </w:r>
                  <w:r w:rsid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(21,7</w:t>
                  </w:r>
                  <w:r w:rsidRPr="004F55B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4F55BA" w:rsidRPr="0066512B" w:rsidTr="003F684C">
              <w:tc>
                <w:tcPr>
                  <w:tcW w:w="5947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4F55BA" w:rsidRPr="0066512B" w:rsidRDefault="004F55BA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Моложе 25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 (6,3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25 до 29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 (6,3</w:t>
                  </w: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30 до 34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 (9,4</w:t>
                  </w:r>
                  <w:r w:rsidRP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35 до 39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7 (21,8</w:t>
                  </w:r>
                  <w:r w:rsidRP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40 до 44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 (25</w:t>
                  </w:r>
                  <w:r w:rsidRP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45 до 49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8 (25</w:t>
                  </w:r>
                  <w:r w:rsidRP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50 до 54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 (3,1</w:t>
                  </w:r>
                  <w:r w:rsidRP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55 до 59 лет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 (3,1</w:t>
                  </w:r>
                  <w:r w:rsidRPr="0084516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84516C" w:rsidRPr="0066512B" w:rsidTr="003F684C">
              <w:tc>
                <w:tcPr>
                  <w:tcW w:w="5947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84516C" w:rsidRPr="0066512B" w:rsidRDefault="0084516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84516C" w:rsidP="003F684C">
                  <w:pPr>
                    <w:framePr w:hSpace="180" w:wrap="around" w:vAnchor="page" w:hAnchor="margin" w:y="7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31</w:t>
                  </w:r>
                  <w:r w:rsidR="003F684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(96,9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</w:t>
                  </w:r>
                  <w:proofErr w:type="spell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ФГОС</w:t>
                  </w:r>
                  <w:proofErr w:type="spell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от общей численности таких работников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3F684C" w:rsidP="003F684C">
                  <w:pPr>
                    <w:framePr w:hSpace="180" w:wrap="around" w:vAnchor="page" w:hAnchor="margin" w:y="7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30 (93,7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%)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Соотношение «педагогический работник/воспитанник»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человек/человек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10</w:t>
                  </w:r>
                  <w:r w:rsidR="00783714"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/1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3F684C" w:rsidRPr="0066512B" w:rsidTr="003F684C">
              <w:trPr>
                <w:trHeight w:val="390"/>
              </w:trPr>
              <w:tc>
                <w:tcPr>
                  <w:tcW w:w="5947" w:type="dxa"/>
                  <w:hideMark/>
                </w:tcPr>
                <w:p w:rsidR="003F684C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3F684C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3F684C" w:rsidRPr="0066512B" w:rsidRDefault="003F684C" w:rsidP="00B82BE9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7837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едагога доп. образования 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83714" w:rsidRPr="0066512B" w:rsidTr="003F684C">
              <w:tc>
                <w:tcPr>
                  <w:tcW w:w="9067" w:type="dxa"/>
                  <w:gridSpan w:val="3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площадь помещений, в которых осуществляется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6E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 кв.м.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70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6E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 кв.м.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700" w:type="dxa"/>
                  <w:vMerge w:val="restart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3F684C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83714" w:rsidRPr="0066512B" w:rsidTr="003F684C">
              <w:tc>
                <w:tcPr>
                  <w:tcW w:w="5947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обеспечить потребность воспитанников в</w:t>
                  </w:r>
                  <w:proofErr w:type="gramEnd"/>
                  <w:r w:rsidRPr="006651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700" w:type="dxa"/>
                  <w:vMerge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0" w:type="dxa"/>
                  <w:hideMark/>
                </w:tcPr>
                <w:p w:rsidR="00783714" w:rsidRPr="0066512B" w:rsidRDefault="00783714" w:rsidP="0084516C">
                  <w:pPr>
                    <w:framePr w:hSpace="180" w:wrap="around" w:vAnchor="page" w:hAnchor="margin" w:y="7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512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</w:tbl>
          <w:p w:rsidR="00783714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83714" w:rsidRPr="000668AF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 показателей указывает на то, что Детский сад имеет достаточную инфраструктуру, которая соответствует требованиям</w:t>
            </w:r>
            <w:r w:rsidRPr="0066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4" w:anchor="/document/97/485031/" w:history="1">
              <w:r w:rsidRPr="0066512B">
                <w:rPr>
                  <w:rFonts w:ascii="Times New Roman" w:eastAsia="Times New Roman" w:hAnsi="Times New Roman" w:cs="Times New Roman"/>
                  <w:iCs/>
                  <w:color w:val="01745C"/>
                  <w:sz w:val="28"/>
                  <w:szCs w:val="28"/>
                  <w:lang w:eastAsia="ru-RU"/>
                </w:rPr>
                <w:t>СП 2.4.3648-20</w:t>
              </w:r>
            </w:hyperlink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</w:t>
            </w:r>
            <w:proofErr w:type="spell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ФГОС</w:t>
            </w:r>
            <w:proofErr w:type="spell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83714" w:rsidRPr="0066512B" w:rsidRDefault="00783714" w:rsidP="00A5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Pr="006651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783714" w:rsidRPr="0066512B" w:rsidRDefault="00783714" w:rsidP="0078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783714" w:rsidRPr="0066512B" w:rsidRDefault="00783714" w:rsidP="0078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14" w:rsidRPr="0066512B" w:rsidRDefault="00783714" w:rsidP="0078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4B" w:rsidRDefault="008D404B"/>
    <w:sectPr w:rsidR="008D404B" w:rsidSect="00A5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12D5D"/>
    <w:multiLevelType w:val="hybridMultilevel"/>
    <w:tmpl w:val="E3861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B1A10"/>
    <w:multiLevelType w:val="hybridMultilevel"/>
    <w:tmpl w:val="0922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5B3B"/>
    <w:multiLevelType w:val="hybridMultilevel"/>
    <w:tmpl w:val="0BFE6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32413"/>
    <w:multiLevelType w:val="multilevel"/>
    <w:tmpl w:val="2FF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97821"/>
    <w:multiLevelType w:val="multilevel"/>
    <w:tmpl w:val="A18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41C3B"/>
    <w:multiLevelType w:val="multilevel"/>
    <w:tmpl w:val="663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A56BF"/>
    <w:multiLevelType w:val="multilevel"/>
    <w:tmpl w:val="5B7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E349A"/>
    <w:multiLevelType w:val="multilevel"/>
    <w:tmpl w:val="584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F3E26"/>
    <w:multiLevelType w:val="hybridMultilevel"/>
    <w:tmpl w:val="1AACA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33971"/>
    <w:multiLevelType w:val="multilevel"/>
    <w:tmpl w:val="E65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F70CF"/>
    <w:multiLevelType w:val="multilevel"/>
    <w:tmpl w:val="EDE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32241"/>
    <w:multiLevelType w:val="multilevel"/>
    <w:tmpl w:val="C16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65273"/>
    <w:multiLevelType w:val="multilevel"/>
    <w:tmpl w:val="BBF0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6661D"/>
    <w:multiLevelType w:val="multilevel"/>
    <w:tmpl w:val="5E4C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D0B4C"/>
    <w:multiLevelType w:val="hybridMultilevel"/>
    <w:tmpl w:val="CAB87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9D7A09"/>
    <w:multiLevelType w:val="multilevel"/>
    <w:tmpl w:val="FEE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B5BBB"/>
    <w:multiLevelType w:val="multilevel"/>
    <w:tmpl w:val="E1B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17"/>
  </w:num>
  <w:num w:numId="8">
    <w:abstractNumId w:val="16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14"/>
    <w:rsid w:val="001B2DEC"/>
    <w:rsid w:val="002744A2"/>
    <w:rsid w:val="00331103"/>
    <w:rsid w:val="003F684C"/>
    <w:rsid w:val="0041716D"/>
    <w:rsid w:val="004F55BA"/>
    <w:rsid w:val="00697F22"/>
    <w:rsid w:val="00717527"/>
    <w:rsid w:val="00783714"/>
    <w:rsid w:val="0084516C"/>
    <w:rsid w:val="00861EF0"/>
    <w:rsid w:val="008B1058"/>
    <w:rsid w:val="008D404B"/>
    <w:rsid w:val="008E1B0E"/>
    <w:rsid w:val="00A244FC"/>
    <w:rsid w:val="00A56421"/>
    <w:rsid w:val="00B8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14"/>
    <w:pPr>
      <w:ind w:left="720"/>
      <w:contextualSpacing/>
    </w:pPr>
  </w:style>
  <w:style w:type="table" w:styleId="a4">
    <w:name w:val="Table Grid"/>
    <w:basedOn w:val="a1"/>
    <w:rsid w:val="00783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chart" Target="charts/chart3.xm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75"/>
      <c:perspective val="150"/>
    </c:view3D>
    <c:plotArea>
      <c:layout>
        <c:manualLayout>
          <c:layoutTarget val="inner"/>
          <c:xMode val="edge"/>
          <c:yMode val="edge"/>
          <c:x val="0"/>
          <c:y val="1.456964431170244E-2"/>
          <c:w val="1"/>
          <c:h val="0.95094760312152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explosion val="20"/>
          </c:dPt>
          <c:dLbls>
            <c:dLblPos val="in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67.400000000000006</c:v>
                </c:pt>
                <c:pt idx="2">
                  <c:v>23.6</c:v>
                </c:pt>
              </c:numCache>
            </c:numRef>
          </c:val>
        </c:ser>
        <c:dLbls>
          <c:showVal val="1"/>
        </c:dLbls>
      </c:pie3DChart>
      <c:spPr>
        <a:scene3d>
          <a:camera prst="orthographicFront"/>
          <a:lightRig rig="threePt" dir="t"/>
        </a:scene3d>
        <a:sp3d>
          <a:bevelT w="165100" prst="coolSlant"/>
        </a:sp3d>
      </c:spPr>
    </c:plotArea>
    <c:legend>
      <c:legendPos val="r"/>
    </c:legend>
    <c:plotVisOnly val="1"/>
  </c:chart>
  <c:spPr>
    <a:ln>
      <a:noFill/>
    </a:ln>
    <a:scene3d>
      <a:camera prst="orthographicFront"/>
      <a:lightRig rig="threePt" dir="t"/>
    </a:scene3d>
    <a:sp3d>
      <a:bevelB w="133350" h="101600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9241272851364782"/>
          <c:y val="2.0477850104802481E-2"/>
          <c:w val="0.77338207069666032"/>
          <c:h val="0.403020905754337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мл.гр."Одуванчик"</c:v>
                </c:pt>
                <c:pt idx="1">
                  <c:v>ср.гр."Ягодка"</c:v>
                </c:pt>
                <c:pt idx="2">
                  <c:v>ср.гр."Колокольчик"</c:v>
                </c:pt>
                <c:pt idx="3">
                  <c:v>ст.гр"Березка"</c:v>
                </c:pt>
                <c:pt idx="4">
                  <c:v>ст.гр"Колосок"</c:v>
                </c:pt>
                <c:pt idx="5">
                  <c:v>под.гр. "Ромашка"</c:v>
                </c:pt>
                <c:pt idx="6">
                  <c:v>под.гр."Солнышкол"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3.2</c:v>
                </c:pt>
                <c:pt idx="2">
                  <c:v>0</c:v>
                </c:pt>
                <c:pt idx="3">
                  <c:v>24.3</c:v>
                </c:pt>
                <c:pt idx="4">
                  <c:v>0</c:v>
                </c:pt>
                <c:pt idx="5">
                  <c:v>16.399999999999999</c:v>
                </c:pt>
                <c:pt idx="6">
                  <c:v>22.6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мл.гр."Одуванчик"</c:v>
                </c:pt>
                <c:pt idx="1">
                  <c:v>ср.гр."Ягодка"</c:v>
                </c:pt>
                <c:pt idx="2">
                  <c:v>ср.гр."Колокольчик"</c:v>
                </c:pt>
                <c:pt idx="3">
                  <c:v>ст.гр"Березка"</c:v>
                </c:pt>
                <c:pt idx="4">
                  <c:v>ст.гр"Колосок"</c:v>
                </c:pt>
                <c:pt idx="5">
                  <c:v>под.гр. "Ромашка"</c:v>
                </c:pt>
                <c:pt idx="6">
                  <c:v>под.гр."Солнышкол"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44.4</c:v>
                </c:pt>
                <c:pt idx="1">
                  <c:v>51.2</c:v>
                </c:pt>
                <c:pt idx="2">
                  <c:v>90.9</c:v>
                </c:pt>
                <c:pt idx="3">
                  <c:v>68.7</c:v>
                </c:pt>
                <c:pt idx="4">
                  <c:v>78.599999999999994</c:v>
                </c:pt>
                <c:pt idx="5">
                  <c:v>78.2</c:v>
                </c:pt>
                <c:pt idx="6">
                  <c:v>64.3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мл.гр."Одуванчик"</c:v>
                </c:pt>
                <c:pt idx="1">
                  <c:v>ср.гр."Ягодка"</c:v>
                </c:pt>
                <c:pt idx="2">
                  <c:v>ср.гр."Колокольчик"</c:v>
                </c:pt>
                <c:pt idx="3">
                  <c:v>ст.гр"Березка"</c:v>
                </c:pt>
                <c:pt idx="4">
                  <c:v>ст.гр"Колосок"</c:v>
                </c:pt>
                <c:pt idx="5">
                  <c:v>под.гр. "Ромашка"</c:v>
                </c:pt>
                <c:pt idx="6">
                  <c:v>под.гр."Солнышкол"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55.6</c:v>
                </c:pt>
                <c:pt idx="1">
                  <c:v>45.6</c:v>
                </c:pt>
                <c:pt idx="2">
                  <c:v>9.1</c:v>
                </c:pt>
                <c:pt idx="3">
                  <c:v>7</c:v>
                </c:pt>
                <c:pt idx="4">
                  <c:v>21.4</c:v>
                </c:pt>
                <c:pt idx="5">
                  <c:v>5.4</c:v>
                </c:pt>
                <c:pt idx="6">
                  <c:v>13.1</c:v>
                </c:pt>
              </c:numCache>
            </c:numRef>
          </c:val>
        </c:ser>
        <c:shape val="box"/>
        <c:axId val="53999488"/>
        <c:axId val="54001024"/>
        <c:axId val="0"/>
      </c:bar3DChart>
      <c:catAx>
        <c:axId val="53999488"/>
        <c:scaling>
          <c:orientation val="minMax"/>
        </c:scaling>
        <c:axPos val="b"/>
        <c:tickLblPos val="nextTo"/>
        <c:crossAx val="54001024"/>
        <c:crosses val="autoZero"/>
        <c:auto val="1"/>
        <c:lblAlgn val="ctr"/>
        <c:lblOffset val="100"/>
      </c:catAx>
      <c:valAx>
        <c:axId val="54001024"/>
        <c:scaling>
          <c:orientation val="minMax"/>
        </c:scaling>
        <c:axPos val="l"/>
        <c:majorGridlines/>
        <c:numFmt formatCode="General" sourceLinked="1"/>
        <c:tickLblPos val="nextTo"/>
        <c:crossAx val="5399948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высшее не педагогическое</c:v>
                </c:pt>
                <c:pt idx="2">
                  <c:v>Среднее педагогическое</c:v>
                </c:pt>
                <c:pt idx="3">
                  <c:v>среднее не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53961856"/>
        <c:axId val="53963392"/>
        <c:axId val="0"/>
      </c:bar3DChart>
      <c:catAx>
        <c:axId val="53961856"/>
        <c:scaling>
          <c:orientation val="minMax"/>
        </c:scaling>
        <c:axPos val="b"/>
        <c:majorTickMark val="none"/>
        <c:tickLblPos val="nextTo"/>
        <c:crossAx val="53963392"/>
        <c:crosses val="autoZero"/>
        <c:auto val="1"/>
        <c:lblAlgn val="ctr"/>
        <c:lblOffset val="100"/>
      </c:catAx>
      <c:valAx>
        <c:axId val="53963392"/>
        <c:scaling>
          <c:orientation val="minMax"/>
        </c:scaling>
        <c:axPos val="l"/>
        <c:numFmt formatCode="General" sourceLinked="1"/>
        <c:majorTickMark val="none"/>
        <c:tickLblPos val="nextTo"/>
        <c:crossAx val="53961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8131780402449693"/>
          <c:y val="1.9512248468941382E-2"/>
          <c:w val="0.29245680227471638"/>
          <c:h val="0.111440132483439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Маша</cp:lastModifiedBy>
  <cp:revision>4</cp:revision>
  <cp:lastPrinted>2021-04-08T06:11:00Z</cp:lastPrinted>
  <dcterms:created xsi:type="dcterms:W3CDTF">2021-04-06T22:02:00Z</dcterms:created>
  <dcterms:modified xsi:type="dcterms:W3CDTF">2021-04-08T07:33:00Z</dcterms:modified>
</cp:coreProperties>
</file>